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SchVG — Anwendungsbereich</w:t>
      </w:r>
    </w:p>
    <w:p>
      <w:r>
        <w:rPr>
          <w:color w:val="555555"/>
          <w:sz w:val="18"/>
        </w:rPr>
        <w:t xml:space="preserve">Schuldverschreibungsgesetz</w:t>
      </w:r>
    </w:p>
    <w:p>
      <w:r>
        <w:rPr>
          <w:color w:val="555555"/>
          <w:sz w:val="18"/>
        </w:rPr>
        <w:t xml:space="preserve">Stand: 10.06.2019 (konsolidierte Textfassung, kein amtliches Inkrafttretensdatum)</w:t>
      </w:r>
    </w:p>
    <w:p>
      <w:r>
        <w:t xml:space="preserve">(1) Dieses Gesetz gilt für nach deutschem Recht begebene inhaltsgleiche Schuldverschreibungen aus Gesamtemissionen (Schuldverschreibungen).</w:t>
      </w:r>
    </w:p>
    <w:p>
      <w:r>
        <w:t xml:space="preserve">(2) Dieses Gesetz gilt nicht für die gedeckten Schuldverschreibungen im Sinne des Pfandbriefgesetzes sowie nicht für Schuldverschreibungen, deren Schuldner der Bund, ein Sondervermögen des Bundes, ein Land oder eine Gemeinde ist oder für die der Bund, ein Sondervermögen des Bundes, ein Land oder eine Gemeinde haftet. Für nach deutschem Recht begebene Schuldverschreibungen, deren Schuldner ein anderer Mitgliedstaat des Euro-Währungsgebiets ist, gelten die besonderen Vorschriften der §§ 4a bis 4i und 4k des Bundesschuldenwesengesetzes entsprechend.</w:t>
      </w:r>
    </w:p>
    <w:p>
      <w:r>
        <w:rPr>
          <w:color w:val="555555"/>
          <w:sz w:val="17"/>
        </w:rPr>
        <w:t xml:space="preserve">Zitiervorschlag: § 1 SchVG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https://recht.nulegal.eu/gesetze/SchVG/1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