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Volltext SchV (Nordrhein-Westfalen)</w:t>
      </w:r>
    </w:p>
    <w:p>
      <w:r>
        <w:rPr>
          <w:color w:val="555555"/>
          <w:sz w:val="18"/>
        </w:rPr>
        <w:t xml:space="preserve">Schiedsstellenverordnung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Vom 14. Juni 1994</w:t>
      </w:r>
    </w:p>
    <w:p>
      <w:r>
        <w:t xml:space="preserve">Aufgrund des § 94 Abs. 5 des Bundessozialhilfegesetzes (BSHG) in der Fassung der Bekanntmachung vom 23. März 1994 (BGBl. I S. 646), geändert durch Gesetz vom 26. Mai 1994 (BGBl. I S. 1014), und des § 5 Abs. 3 Satz 1 in Verbindung mit § 7 Abs. 4 Satz 2 des Landesorganisationsgesetzes - LOG. NW. - insoweit nach Anhörung des Ausschusses für Arbeit, Gesundheit, Soziales und Angelegenheiten der Vertriebenen und Flüchtlinge des Landtags - wird verordnet:</w:t>
      </w:r>
    </w:p>
    <w:p>
      <w:r>
        <w:rPr>
          <w:color w:val="555555"/>
          <w:sz w:val="17"/>
        </w:rPr>
        <w:t xml:space="preserve">Zitiervorschlag: Volltext SchV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https://recht.nulegal.eu/gesetze/SchV/volltext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