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SchV (Nordrhein-Westfalen) — Abberufung und Niederlegung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Vorsitzenden und ihre Stellvertretung können aus wichtigem Grund von der zuständigen Bezirksregierung abberufen werden.</w:t>
      </w:r>
    </w:p>
    <w:p>
      <w:r>
        <w:t xml:space="preserve">(2) Die übrigen Mitglieder sowie ihre stellvertretenden Mitglieder können von der entsendenden Organisation und im Falle der Bestellung nach § 3 Abs. 5 durch die zuständige Bezirksregierung abberufen werden. Die Abberufung ist der Geschäftsstelle unter gleichzeitiger Benennung der Nachfolgerin oder des Nachfolgers mitzuteilen.</w:t>
      </w:r>
    </w:p>
    <w:p>
      <w:r>
        <w:t xml:space="preserve">(3) Die Niederlegung des Amtes ist gegenüber der Geschäftsstelle schriftlich zu erklären. Diese hat die Vorsitzende oder den Vorsitzenden, die beteiligten Organisationen und die zuständige Bezirksregierung zu benachrichtigen.</w:t>
      </w:r>
    </w:p>
    <w:p>
      <w:r>
        <w:rPr>
          <w:color w:val="555555"/>
          <w:sz w:val="17"/>
        </w:rPr>
        <w:t xml:space="preserve">Zitiervorschlag: § 5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