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SchV (Nordrhein-Westfalen) — Inkrafttreten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Hinweis</w:t>
      </w:r>
    </w:p>
    <w:p>
      <w:r>
        <w:t xml:space="preserve">Rückkehr zum einheitlichen Verordnungsrang</w:t>
      </w:r>
    </w:p>
    <w:p>
      <w:r>
        <w:t xml:space="preserve">(Artikel 12 des Gesetzes zur Anpassung des Landesrechts an das Sozialgesetzbuch (SGB)</w:t>
      </w:r>
    </w:p>
    <w:p>
      <w:r>
        <w:t xml:space="preserve">Zwölftes Buch (XII) - Sozialhilfe vom 16.12.2004 (GV. NRW. S. 816))</w:t>
      </w:r>
    </w:p>
    <w:p>
      <w:r>
        <w:t xml:space="preserve">Die durch Artikel 2, 3 und 8 bis 10 geänderten Rechtsverordnungen können aufgrund der jeweils einschlägigen Ermächtigungen durch Rechtsverordnung geändert oder aufgehoben werden.</w:t>
      </w:r>
    </w:p>
    <w:p>
      <w:r>
        <w:rPr>
          <w:color w:val="555555"/>
          <w:sz w:val="17"/>
        </w:rPr>
        <w:t xml:space="preserve">Zitiervorschlag: § 18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