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SchV (Nordrhein-Westfalen) — Entscheidungen der Schiedsstelle</w:t>
      </w:r>
    </w:p>
    <w:p>
      <w:r>
        <w:rPr>
          <w:color w:val="555555"/>
          <w:sz w:val="18"/>
        </w:rPr>
        <w:t xml:space="preserve">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Entscheidung der Schiedsstelle ist schriftlich zu begründen und den Vertragsparteien mit Rechtsmittelbelehrung zuzustellen.</w:t>
      </w:r>
    </w:p>
    <w:p>
      <w:r>
        <w:t xml:space="preserve">(2) Gegen die Entscheidung ist der Rechtsweg zu den Sozialgerichten gegeben. Einer Nachprüfung der Entscheidung in einem Vorverfahren bedarf es nicht; die Klage hat keine aufschiebende Wirkung. Die Klage ist gegen eine der beiden Vertragsparteien zu richten.</w:t>
      </w:r>
    </w:p>
    <w:p>
      <w:r>
        <w:t xml:space="preserve">(3) Die Schiedsstelle beschließt auch über die Veröffentlichung von Entscheidungen. Das Nähere regelt die Geschäftsordnung nach § 16.</w:t>
      </w:r>
    </w:p>
    <w:p>
      <w:r>
        <w:rPr>
          <w:color w:val="555555"/>
          <w:sz w:val="17"/>
        </w:rPr>
        <w:t xml:space="preserve">Zitiervorschlag: § 11 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https://recht.nulegal.eu/gesetze/SchV/11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