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SchV-KHG (Brandenburg) — Geschäftsstelle</w:t>
      </w:r>
    </w:p>
    <w:p>
      <w:r>
        <w:rPr>
          <w:color w:val="555555"/>
          <w:sz w:val="18"/>
        </w:rPr>
        <w:t xml:space="preserve">Verordnung über die Schiedsstelle nach § 18a des Krankenhausfinanzierungsgesetzes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Schiedsstelle ist eine Geschäftsstelle zuzuordnen.</w:t>
      </w:r>
    </w:p>
    <w:p>
      <w:r>
        <w:t xml:space="preserve">(2) Die Geschäftsstelle wird im zweijährigen Wechsel bei einer der beteiligten Organisationen gebildet und mit ihr organisatorisch verbunden. Die Schiedsstelle kann abweichende Regelungen treffen.</w:t>
      </w:r>
    </w:p>
    <w:p>
      <w:r>
        <w:t xml:space="preserve">(3) Die Geschäftsstelle ist für den laufenden Betrieb der Schiedsstelle, insbesondere die Vorbereitung der einzelnen Sitzungen verantwortlich; insoweit unterliegt sie den Weisungen der Person, die den Vorsitz führt.</w:t>
      </w:r>
    </w:p>
    <w:p>
      <w:r>
        <w:rPr>
          <w:color w:val="555555"/>
          <w:sz w:val="17"/>
        </w:rPr>
        <w:t xml:space="preserve">Zitiervorschlag: § 6 SchV-KHG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https://recht.nulegal.eu/gesetze/SchV-KHG/6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