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SchUnfDatG — Löschung</w:t>
      </w:r>
    </w:p>
    <w:p>
      <w:r>
        <w:rPr>
          <w:color w:val="555555"/>
          <w:sz w:val="18"/>
        </w:rPr>
        <w:t xml:space="preserve">Schiffsunfalldatenbankgesetz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Personenbezogene Daten nach § 4 Absatz 1 Satz 1 sind im Einzelfall unverzüglich zu löschen, soweit sie für die Erfüllung der Zwecke nach § 3 Absatz 1 und 2 nicht mehr erforderlich sind, spätestens jedoch automatisiert nach zehn Jahren ab dem Tag des Unfalls.</w:t>
      </w:r>
    </w:p>
    <w:p>
      <w:r>
        <w:t xml:space="preserve">(2) Nicht personenbezogene Daten sind nach Ablauf von 30 Jahren automatisiert zu löschen.</w:t>
      </w:r>
    </w:p>
    <w:p>
      <w:r>
        <w:t xml:space="preserve">(3) Im Falle Minderjähriger sind die Absätze 1 und 2 mit der Maßgabe anzuwenden, dass die Löschungsfrist fünf Jahre beträgt.</w:t>
      </w:r>
    </w:p>
    <w:p>
      <w:r>
        <w:rPr>
          <w:color w:val="555555"/>
          <w:sz w:val="17"/>
        </w:rPr>
        <w:t xml:space="preserve">Zitiervorschlag: § 7 SchUnfDatG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https://recht.nulegal.eu/gesetze/SchUnfDatG/7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