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SchUnfDatG — Datenspeicherung und Datenverwendung</w:t>
      </w:r>
    </w:p>
    <w:p>
      <w:r>
        <w:rPr>
          <w:color w:val="555555"/>
          <w:sz w:val="18"/>
        </w:rPr>
        <w:t xml:space="preserve">Schiffsunfalldatenbankgesetz</w:t>
      </w:r>
    </w:p>
    <w:p>
      <w:r>
        <w:rPr>
          <w:color w:val="555555"/>
          <w:sz w:val="18"/>
        </w:rPr>
        <w:t xml:space="preserve">Stand: 02.12.2019 (konsolidierte Textfassung, kein amtliches Inkrafttretensdatum)</w:t>
      </w:r>
    </w:p>
    <w:p>
      <w:r>
        <w:t xml:space="preserve">(1) Die datenbankführende Stelle darf die Daten nach § 4 Absatz 1 Satz 1 zu den in § 3 Absatz 1 und 2 genannten Zwecken erheben, speichern und verwenden. Daten über Unfälle im Anwendungsbereich des § 1 Absatz 1 Nummer 3 dürfen nur zum Zwecke statistischer Auswertungen erhoben, gespeichert und verwendet werden.</w:t>
      </w:r>
    </w:p>
    <w:p>
      <w:r>
        <w:t xml:space="preserve">(2) Die Daten nach § 4 Absatz 1 Satz 1 dürfen zu den in § 3 Absatz 2 Nummer 6 bis 9 genannten Zwecken von den Dienststellen der Wasserstraßen- und Schifffahrtsverwaltung des Bundes und von den mit der Wahrnehmung wasserschutzpolizeilicher Aufgaben betrauten Dienststellen der Länder im Rahmen ihrer gesetzlichen Aufgaben durch jeweils unmittelbaren Zugriff erhoben, gespeichert und verwendet werden, soweit dies für deren jeweilige Aufgabenerfüllung im Einzelfall erforderlich ist. Zu den Zwecken des § 3 Absatz 2 Nummer 1 bis 5 dürfen die Daten nach § 4 Absatz 1 Satz 1 nur erhoben, gespeichert und verwendet werden, soweit es sich nicht um personenbezogene Daten handelt.</w:t>
      </w:r>
    </w:p>
    <w:p>
      <w:r>
        <w:rPr>
          <w:color w:val="555555"/>
          <w:sz w:val="17"/>
        </w:rPr>
        <w:t xml:space="preserve">Zitiervorschlag: § 5 SchUnfDatG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https://recht.nulegal.eu/gesetze/SchUnfDatG/5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