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SchUnfDatG — Begriffsbestimmungen</w:t>
      </w:r>
    </w:p>
    <w:p>
      <w:r>
        <w:rPr>
          <w:color w:val="555555"/>
          <w:sz w:val="18"/>
        </w:rPr>
        <w:t xml:space="preserve">Schiffsunfalldatenbankgesetz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diesem Gesetz gelten als</w:t>
      </w:r>
    </w:p>
    <w:p>
      <w:pPr>
        <w:ind w:left="420"/>
      </w:pPr>
      <w:r>
        <w:t xml:space="preserve">1. „Wasserfahrzeug“:ein Seeschiff oder ein Binnenschiff, einschließlich Kleinfahrzeug, Fähre, Schubleichter, Schwimmkörper, schwimmendes Gerät und schwimmende Anlage;</w:t>
      </w:r>
    </w:p>
    <w:p>
      <w:pPr>
        <w:ind w:left="420"/>
      </w:pPr>
      <w:r>
        <w:t xml:space="preserve">2. „Unfall“:jedes unvorhersehbare Ereignis, das im Zusammenhang mit dem Betrieb eines Wasserfahrzeugs oder der Teilnahme am Schiffsverkehr einen Personenschaden oder einen nicht nur unerheblichen Sach- oder Umweltschaden oder eine erhebliche Störung des Verkehrsablaufs verursacht, sowie auf den Seewasserstraßen auch jedes Vorkommnis gemäß § 1a Nummer 1 Buchstabe b des Seesicherheits-Untersuchungs-Gesetzes.</w:t>
      </w:r>
    </w:p>
    <w:p>
      <w:r>
        <w:rPr>
          <w:color w:val="555555"/>
          <w:sz w:val="17"/>
        </w:rPr>
        <w:t xml:space="preserve">Zitiervorschlag: § 2 SchUnfDatG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https://recht.nulegal.eu/gesetze/SchUnfDatG/2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