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SchStV — Abberufung und Amtsniederlegung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Gesundheit kann Mitglieder und ihre Stellvertreter auf Antrag einer Vertragspartei aus wichtigem Grunde abberufen. Die beteiligten Verbände sind vorher zu hören.</w:t>
      </w:r>
    </w:p>
    <w:p>
      <w:r>
        <w:t xml:space="preserve">(2) Die Mitglieder haben die Niederlegung des Amtes den für die Benennung zuständigen Verbänden oder Vertragsparteien, dem Vorsitzenden der Schiedsstelle sowie dem Bundesministerium für Gesundheit zu erklären.</w:t>
      </w:r>
    </w:p>
    <w:p>
      <w:r>
        <w:t xml:space="preserve">(3) Für die Bestellung von Mitgliedern und ihren Stellvertretern in der Nachfolge von während einer Amtsperiode Ausgeschiedenen gilt § 1 entsprechend.</w:t>
      </w:r>
    </w:p>
    <w:p>
      <w:r>
        <w:rPr>
          <w:color w:val="555555"/>
          <w:sz w:val="17"/>
        </w:rPr>
        <w:t xml:space="preserve">Zitiervorschlag: § 3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