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SchStV — Amtsperiode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Amtsdauer der Mitglieder beträgt vier Jahre. Die Amtsdauer der während einer Amtsperiode neu bestellten Mitglieder endet mit dem Ablauf dieser Amtsperiode.</w:t>
      </w:r>
    </w:p>
    <w:p>
      <w:r>
        <w:t xml:space="preserve">(2) Abweichend von Absatz 1 endet die Amtsdauer der nach § 1 Absatz 2 Satz 2 benannten Mitglieder mit Wirksamwerden des Schiedsspruchs.</w:t>
      </w:r>
    </w:p>
    <w:p>
      <w:r>
        <w:rPr>
          <w:color w:val="555555"/>
          <w:sz w:val="17"/>
        </w:rPr>
        <w:t xml:space="preserve">Zitiervorschlag: § 2 SchStV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