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SchSiHafV — Anweisung der Liegeplätze</w:t>
      </w:r>
    </w:p>
    <w:p>
      <w:r>
        <w:rPr>
          <w:color w:val="555555"/>
          <w:sz w:val="18"/>
        </w:rPr>
        <w:t xml:space="preserve">Schutz- und Sicherheitshafenverordnung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Liegeplätze werden von der Hafenbehörde zugewiesen. Es besteht kein Anspruch auf Zuweisung eines bestimmten Liegeplatzes für ein Fahrzeug. Zugewiesene Liegeplätze dürfen vorbehaltlich des § 8 nicht ohne Anweisung gewechselt werden.</w:t>
      </w:r>
    </w:p>
    <w:p>
      <w:r>
        <w:t xml:space="preserve">(2) Auf Verlangen der Hafenbehörde hat der Fahrzeugführer sein Fahrzeug an einen anderen Liegeplatz zu verholen.</w:t>
      </w:r>
    </w:p>
    <w:p>
      <w:r>
        <w:t xml:space="preserve">(3) Sind für die Fischerei und den Personenverkehr besondere Liegeplätze bestimmt, können sie von den entsprechenden Fahrzeugen ohne besondere Zuweisung benutzt werden.</w:t>
      </w:r>
    </w:p>
    <w:p>
      <w:r>
        <w:rPr>
          <w:color w:val="555555"/>
          <w:sz w:val="17"/>
        </w:rPr>
        <w:t xml:space="preserve">Zitiervorschlag: § 9 SchSiHafV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https://recht.nulegal.eu/gesetze/SchSiHafV/9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