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SchSiHafV — An- und Abmeldung der Fahrzeuge</w:t>
      </w:r>
    </w:p>
    <w:p>
      <w:r>
        <w:rPr>
          <w:color w:val="555555"/>
          <w:sz w:val="18"/>
        </w:rPr>
        <w:t xml:space="preserve">Schutz- und Sicherheitshafenverordnung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Fahrzeugführer hat sein Fahrzeug nach der Ankunft unverzüglich bei der Hafenbehörde anzumelden und rechtzeitig vor Verlassen des Hafens abzumelden.</w:t>
      </w:r>
    </w:p>
    <w:p>
      <w:r>
        <w:t xml:space="preserve">(2) Von den Meldungen befreit sind Fahrgastschiffe, die nach einem der Hafenbehörde mitgeteilten, öffentlich bekannt gegebenen Fahrplan verkehren.</w:t>
      </w:r>
    </w:p>
    <w:p>
      <w:r>
        <w:rPr>
          <w:color w:val="555555"/>
          <w:sz w:val="17"/>
        </w:rPr>
        <w:t xml:space="preserve">Zitiervorschlag: § 7 SchSiHafV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https://recht.nulegal.eu/gesetze/SchSiHafV/7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