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SchSiHafV — Ausnahmen für die „Deutsche Gesellschaft zur Rettung Schiffbrüchiger“</w:t>
      </w:r>
    </w:p>
    <w:p>
      <w:r>
        <w:rPr>
          <w:color w:val="555555"/>
          <w:sz w:val="18"/>
        </w:rPr>
        <w:t xml:space="preserve">Schutz- und Sicherheitshafenverordnung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Fahrzeuge der „Deutschen Gesellschaft zur Rettung Schiffbrüchiger“ sind von den Verboten dieser Verordnung ausgenommen, soweit dies zur Wahrnehmung ihrer Rettungsaufgaben im Einzelfall unumgänglich ist.</w:t>
      </w:r>
    </w:p>
    <w:p>
      <w:r>
        <w:rPr>
          <w:color w:val="555555"/>
          <w:sz w:val="17"/>
        </w:rPr>
        <w:t xml:space="preserve">Zitiervorschlag: § 40 SchSiHafV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https://recht.nulegal.eu/gesetze/SchSiHafV/40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