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SchSiHafV — Gültigkeit anderer Vorschriften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diese Verordnung nichts Abweichendes bestimmt, bleibt die Geltung anderer Rechtsvorschriften,</w:t>
      </w:r>
    </w:p>
    <w:p>
      <w:pPr>
        <w:ind w:left="420"/>
      </w:pPr>
      <w:r>
        <w:t xml:space="preserve">– insbesondere der Kollisionsverhütungsregeln nach der Verordnung zu den Internationalen Regeln von 1972 zur Verhütung von Zusammenstößen auf See (Kollisionsverhütungsregeln),</w:t>
      </w:r>
    </w:p>
    <w:p>
      <w:pPr>
        <w:ind w:left="420"/>
      </w:pPr>
      <w:r>
        <w:t xml:space="preserve">– der Seeschifffahrtsstraßen-Ordnung,</w:t>
      </w:r>
    </w:p>
    <w:p>
      <w:pPr>
        <w:ind w:left="420"/>
      </w:pPr>
      <w:r>
        <w:t xml:space="preserve">– der Verordnung zur Einführung der Schifffahrtsordnung Emsmündung vom 8. August 1989 (BGBl. I S. 1583),</w:t>
      </w:r>
    </w:p>
    <w:p>
      <w:pPr>
        <w:ind w:left="420"/>
      </w:pPr>
      <w:r>
        <w:t xml:space="preserve">– der Schifffahrtsordnung Emsmündung (Anlage A zu dem deutsch-niederländischen Abkommen vom 22. Dezember 1986 über die Schifffahrtsordnung in der Emsmündung (BGBl. 1987 II S. 141, 144)),</w:t>
      </w:r>
    </w:p>
    <w:p>
      <w:r>
        <w:t xml:space="preserve">in den jeweils geltenden Fassungen, unberührt.</w:t>
      </w:r>
    </w:p>
    <w:p>
      <w:r>
        <w:rPr>
          <w:color w:val="555555"/>
          <w:sz w:val="17"/>
        </w:rPr>
        <w:t xml:space="preserve">Zitiervorschlag: § 38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