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SchSiHafV — Benutzerbestimmungen für die Seeschleuse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Schleusenbetriebszeiten werden vom Wasserstraßen- und Schifffahrtsamt Wilhelmshaven öffentlich bekannt gegeben.</w:t>
      </w:r>
    </w:p>
    <w:p>
      <w:r>
        <w:t xml:space="preserve">(2) Außerhalb der festgelegten Betriebszeiten sind Schleusungen nur in besonderen Fällen nach vorheriger Absprache mit dem Wasserstraßen- und Schifffahrtsamt Wilhelmshaven möglich.</w:t>
      </w:r>
    </w:p>
    <w:p>
      <w:r>
        <w:t xml:space="preserve">(3) Den schifffahrtspolizeilichen Anweisungen der Schleusenbediensteten ist Folge zu leisten.</w:t>
      </w:r>
    </w:p>
    <w:p>
      <w:r>
        <w:t xml:space="preserve">(4) Ist eine Schleusenkammer durch das entsprechende Einfahrtssignal freigegeben worden, darf nur einzeln eingelaufen werden. Die Schleusenbediensteten bestimmen die Reihenfolge des Einlaufens und die Liegeplätze in der Schleusenkammer.</w:t>
      </w:r>
    </w:p>
    <w:p>
      <w:r>
        <w:t xml:space="preserve">(5) Alle Fahrzeuge sind in der Schleuse festzumachen. Ausnahmegenehmigung erteilt der Hafenkapitän. Für die Nutzung der Landpoller oder auf Anweisung des Schleusenmeisters sind Festmacher zu nehmen.</w:t>
      </w:r>
    </w:p>
    <w:p>
      <w:r>
        <w:t xml:space="preserve">(6) Die Festmacherleinen müssen während des Schleusungsvorganges bordseitig ununterbrochen bewacht werden. Sie dürfen erst losgeworfen werden, wenn die Ausfahrt freigegeben ist oder Schleusenbedienstete hierzu auffordern.</w:t>
      </w:r>
    </w:p>
    <w:p>
      <w:r>
        <w:rPr>
          <w:color w:val="555555"/>
          <w:sz w:val="17"/>
        </w:rPr>
        <w:t xml:space="preserve">Zitiervorschlag: § 35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