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SchSiHafV — Anweisungen und Anordnungen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schifffahrtspolizeilichen Anweisungen der zuständigen Hafenbehörde und der Vollzugsorgane sind zu befolgen.</w:t>
      </w:r>
    </w:p>
    <w:p>
      <w:r>
        <w:t xml:space="preserve">(2) Die Hafenbehörde kann aus besonderem Anlass zur Abwehr von Gefahren für die Sicherheit und Ordnung im Schutz- und Sicherheitshafen die erforderlichen Anordnungen treffen.</w:t>
      </w:r>
    </w:p>
    <w:p>
      <w:r>
        <w:rPr>
          <w:color w:val="555555"/>
          <w:sz w:val="17"/>
        </w:rPr>
        <w:t xml:space="preserve">Zitiervorschlag: § 3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