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SchSiHafV — Verantwortung der Fahrzeugführer</w:t>
      </w:r>
    </w:p>
    <w:p>
      <w:r>
        <w:rPr>
          <w:color w:val="555555"/>
          <w:sz w:val="18"/>
        </w:rPr>
        <w:t xml:space="preserve">Schutz- und Sicherheitshafenverordnung</w:t>
      </w:r>
    </w:p>
    <w:p>
      <w:r>
        <w:rPr>
          <w:color w:val="555555"/>
          <w:sz w:val="18"/>
        </w:rPr>
        <w:t xml:space="preserve">Stand: 10.06.2019 (konsolidierte Textfassung, kein amtliches Inkrafttretensdatum)</w:t>
      </w:r>
    </w:p>
    <w:p>
      <w:r>
        <w:t xml:space="preserve">(1) Die Fahrzeugführer oder ihre Vertreter haben sicherzustellen, dass diese Verordnung auf ihren Fahrzeugen befolgt wird.</w:t>
      </w:r>
    </w:p>
    <w:p>
      <w:r>
        <w:t xml:space="preserve">(2) Jeder Fahrzeugführer hat die zuständige Hafenbehörde, außerhalb der Dienstzeiten die örtliche Polizei, unverzüglich über Schiffsunfälle, schwere Unfälle an Bord oder der Gefahr solcher Unfälle, von Fahruntüchtigkeit der Fahrzeuge oder von Beschädigung der Hafenanlagen zu unterrichten. § 37 Absatz 2 Nummer 2 der Seeschifffahrtsstraßen-Ordnung bleibt unberührt.</w:t>
      </w:r>
    </w:p>
    <w:p>
      <w:r>
        <w:rPr>
          <w:color w:val="555555"/>
          <w:sz w:val="17"/>
        </w:rPr>
        <w:t xml:space="preserve">Zitiervorschlag: § 2 SchSiHafV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https://recht.nulegal.eu/gesetze/SchSiHafV/2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