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SchSiHafV — Benutzung von Anlegebrücken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Anlegebrücken dürfen nur nach Maßgabe der Absätze 2 und 3 benutzt werden.</w:t>
      </w:r>
    </w:p>
    <w:p>
      <w:r>
        <w:t xml:space="preserve">(2) Auf Anlegebrücken sind das Lagern von Gegenständen und der Verkehr mit Landfahrzeugen verboten. Die Zugänge zu einer Anlegebrücke sind freizuhalten.</w:t>
      </w:r>
    </w:p>
    <w:p>
      <w:r>
        <w:t xml:space="preserve">(3) Der Benutzer hat die durch ihn verursachten Verunreinigungen der Anlegebrücke zu entfernen oder entfernen zu lassen.</w:t>
      </w:r>
    </w:p>
    <w:p>
      <w:r>
        <w:rPr>
          <w:color w:val="555555"/>
          <w:sz w:val="17"/>
        </w:rPr>
        <w:t xml:space="preserve">Zitiervorschlag: § 19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