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SchSiHafV — Landgänge</w:t>
      </w:r>
    </w:p>
    <w:p>
      <w:r>
        <w:rPr>
          <w:color w:val="555555"/>
          <w:sz w:val="18"/>
        </w:rPr>
        <w:t xml:space="preserve">Schutz- und Sicherheitshafenverordnung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Der Fahrzeugführer hat Landgänge nach Maßgabe der Absätze 2 bis 4 zu betreiben.</w:t>
      </w:r>
    </w:p>
    <w:p>
      <w:r>
        <w:t xml:space="preserve">(2) Landgänge, wie Brücken, Stege, Treppen und Leitern müssen verkehrssicher sein.</w:t>
      </w:r>
    </w:p>
    <w:p>
      <w:r>
        <w:t xml:space="preserve">(3) Liegen mehrere Fahrzeuge nebeneinander, so ist das Überlegen von Stegen sowie das Hinüberbringen von Gütern und der Verkehr von Personen über die dem Ufer näherliegenden Fahrzeuge zu gestatten.</w:t>
      </w:r>
    </w:p>
    <w:p>
      <w:r>
        <w:t xml:space="preserve">(4) Landgänge sind bei Dunkelheit ausreichend zu beleuchten. Die Beleuchtung ist so abzublenden, dass der Verkehr nicht durch Verwechslungen oder Blendungen gestört werden kann.</w:t>
      </w:r>
    </w:p>
    <w:p>
      <w:r>
        <w:rPr>
          <w:color w:val="555555"/>
          <w:sz w:val="17"/>
        </w:rPr>
        <w:t xml:space="preserve">Zitiervorschlag: § 17 SchSiHafV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https://recht.nulegal.eu/gesetze/SchSiHafV/17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