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SchSiHafV — Vorsichtsmaßnahmen auf Fahrzeugen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Fahrzeugführer hat dafür zu sorgen, dass</w:t>
      </w:r>
    </w:p>
    <w:p>
      <w:pPr>
        <w:ind w:left="420"/>
      </w:pPr>
      <w:r>
        <w:t xml:space="preserve">1. im Hafen keine Gegenstände über die Bordwand ragen und</w:t>
      </w:r>
    </w:p>
    <w:p>
      <w:pPr>
        <w:ind w:left="420"/>
      </w:pPr>
      <w:r>
        <w:t xml:space="preserve">2. auf einem festgemachten Fahrzeug alle Vorsichtsmaßnahmen getroffen sind, damit Schäden verhindert werden, die durch das Vorbeifahren anderer Fahrzeuge entstehen können.</w:t>
      </w:r>
    </w:p>
    <w:p>
      <w:r>
        <w:t xml:space="preserve">Satz 1 gilt nicht für Fender oder Anker.</w:t>
      </w:r>
    </w:p>
    <w:p>
      <w:r>
        <w:t xml:space="preserve">(2) Radargeräte sind vom Fahrzeugführer nach dem Anlegen unverzüglich auszuschalten.</w:t>
      </w:r>
    </w:p>
    <w:p>
      <w:r>
        <w:rPr>
          <w:color w:val="555555"/>
          <w:sz w:val="17"/>
        </w:rPr>
        <w:t xml:space="preserve">Zitiervorschlag: § 14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