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SchSiHafV — Festmachen von Fahrzeugen</w:t>
      </w:r>
    </w:p>
    <w:p>
      <w:r>
        <w:rPr>
          <w:color w:val="555555"/>
          <w:sz w:val="18"/>
        </w:rPr>
        <w:t xml:space="preserve">Schutz- und Sicherheitshafenverordnung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Fahrzeugführer darf sein Fahrzeug nur nach Maßgabe der Absätze 2 und 3 festmachen.</w:t>
      </w:r>
    </w:p>
    <w:p>
      <w:r>
        <w:t xml:space="preserve">(2) Ein Fahrzeug muss fest und sicher und so vertäut werden, dass die Befestigungen jederzeit gelöst werden können und das Losmachen anderer Fahrzeuge nicht behindert wird.</w:t>
      </w:r>
    </w:p>
    <w:p>
      <w:r>
        <w:t xml:space="preserve">(3) Bei vorhandenen Landpollern sind diese zu benutzen.</w:t>
      </w:r>
    </w:p>
    <w:p>
      <w:r>
        <w:rPr>
          <w:color w:val="555555"/>
          <w:sz w:val="17"/>
        </w:rPr>
        <w:t xml:space="preserve">Zitiervorschlag: § 12 SchSiHafV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https://recht.nulegal.eu/gesetze/SchSiHafV/12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