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SchSiHafV — Ankern</w:t>
      </w:r>
    </w:p>
    <w:p>
      <w:r>
        <w:rPr>
          <w:color w:val="555555"/>
          <w:sz w:val="18"/>
        </w:rPr>
        <w:t xml:space="preserve">Schutz- und Sicherheitshafenverordnung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Das Ankern in einem Schutz- und Sicherheitshafen ist verboten. Satz 1 gilt nicht, soweit das Ankern durch die zuständige Hafenbehörde erlaubt ist, oder im Fall einer unmittelbar drohenden Gefahr.</w:t>
      </w:r>
    </w:p>
    <w:p>
      <w:r>
        <w:rPr>
          <w:color w:val="555555"/>
          <w:sz w:val="17"/>
        </w:rPr>
        <w:t xml:space="preserve">Zitiervorschlag: § 10 SchSiHafV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https://recht.nulegal.eu/gesetze/SchSiHafV/10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