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SchSiHafV — Geltungsbereich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Dieser Teil gilt für den Bereich der Schutz- und Sicherheitshäfen mit ihren Wasserflächen und Hafenanlagen, die in Abschnitt 7 bezeichnet sind.</w:t>
      </w:r>
    </w:p>
    <w:p>
      <w:r>
        <w:t xml:space="preserve">(2) Die Schutz- und Sicherheitshäfen sind dazu bestimmt, Wasserfahrzeugen bei widrigen Verhältnissen, insbesondere Sturm, Seegang, Hochwasser oder Eis, als Zuflucht zu dienen.</w:t>
      </w:r>
    </w:p>
    <w:p>
      <w:r>
        <w:rPr>
          <w:color w:val="555555"/>
          <w:sz w:val="17"/>
        </w:rPr>
        <w:t xml:space="preserve">Zitiervorschlag: § 1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