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6a SchSV 1998 — Dampfkessel</w:t>
      </w:r>
    </w:p>
    <w:p>
      <w:r>
        <w:rPr>
          <w:color w:val="555555"/>
          <w:sz w:val="18"/>
        </w:rPr>
        <w:t xml:space="preserve">Schiffssicherheitsverordnung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Dampfkesselanlagen an Bord von Seeschiffen unter deutscher Flagge sind nach Maßgabe der Anlage 1a Teil 8 so auszulegen, zu bauen, auszurüsten und zu betreiben, dass sie unter allen Betriebsbedingungen zuverlässig arbeiten und zu keiner Zeit die Sicherheit des Schiffes und der an Bord befindlichen Personen gefährden. Schiffszeugnisse und -bescheinigungen nach § 9 Abs. 1 bis 4, hinsichtlich der Anlage 2 in Verbindung mit deren Abschnitt A Nr. 1, 2, 13a, 21a, 21b, 21c, 22a und 22c, dürfen für Seeschiffe, die mit Dampfkesselanlagen ausgerüstet sind, nur erteilt werden, wenn die Voraussetzungen des Satzes 1 erfüllt sind.</w:t>
      </w:r>
    </w:p>
    <w:p>
      <w:r>
        <w:rPr>
          <w:color w:val="555555"/>
          <w:sz w:val="17"/>
        </w:rPr>
        <w:t xml:space="preserve">Zitiervorschlag: § 6a SchSV 1998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https://recht.nulegal.eu/gesetze/SchSV%201998/6a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