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SchSG — Ergänzende Pflichten</w:t>
      </w:r>
    </w:p>
    <w:p>
      <w:r>
        <w:rPr>
          <w:color w:val="555555"/>
          <w:sz w:val="18"/>
        </w:rPr>
        <w:t xml:space="preserve">Schiffssicherheitsgesetz</w:t>
      </w:r>
    </w:p>
    <w:p>
      <w:r>
        <w:rPr>
          <w:color w:val="555555"/>
          <w:sz w:val="18"/>
        </w:rPr>
        <w:t xml:space="preserve">Stand: 21.03.2023 (konsolidierte Textfassung, kein amtliches Inkrafttretensdatum)</w:t>
      </w:r>
    </w:p>
    <w:p>
      <w:r>
        <w:t xml:space="preserve">(1) Der Schiffseigentümer hat ein Seeschiff, das in ein deutsches Schiffsregister eingetragen wird, zuvor im Einklang mit den internationalen Regelungen amtlich vermessen zu lassen; er hat der hierfür zuständigen Behörde nachträgliche Änderungen des baulichen Zustands anzuzeigen. Dasselbe gilt für ein Binnenschiff, dessen Vermessung nach den internationalen Regelungen vorausgesetzt wird.</w:t>
      </w:r>
    </w:p>
    <w:p>
      <w:r>
        <w:t xml:space="preserve">(2) Bis zum 31. Dezember 2002 hat der Eigentümer eines in § 2 Abs. 1 genannten Schiffes die Vorschriften der Schiffssicherheitsverordnung in der Fassung vom 3. September 1997 (BGBl. I S. 2217) einzuhalten, soweit sie für ein solches Schiff Prüfungen, Zulassungen und Durchsetzungsmaßnahmen nach den Nummern 9, 17, 21, 21a und 25 der Anlage 7 der Verordnung vorschreiben.</w:t>
      </w:r>
    </w:p>
    <w:p>
      <w:r>
        <w:t xml:space="preserve">(3) Der Schiffsführer hat - falls nicht anders vorgeschrieben, im Schiffstagebuch - unverzüglich durch geeignete Eintragungen über alle Vorkommnisse an Bord zu berichten, die für die Sicherheit in der Seefahrt einschließlich des Umweltschutzes auf See und des Arbeitsschutzes von besonderer Bedeutung sind. Bei Schiffsunfällen hat der Schiffsführer, soweit erforderlich und möglich, für die Sicherstellung der Eintragungsunterlagen zu sorgen.</w:t>
      </w:r>
    </w:p>
    <w:p>
      <w:r>
        <w:t xml:space="preserve">(4) Die Anwendung der in Abschnitt E der Anlage aufgeführten internationalen Schiffssicherheitsnormen als allgemein anerkannte Regeln der Technik oder der seemännischen Praxis bleibt unberührt. Das Bundesministerium für Digitales und Verkehr macht den Abschnitt E betreffende Änderungen und Ergänzungen im Verkehrsblatt bekannt.</w:t>
      </w:r>
    </w:p>
    <w:p>
      <w:r>
        <w:rPr>
          <w:color w:val="555555"/>
          <w:sz w:val="17"/>
        </w:rPr>
        <w:t xml:space="preserve">Zitiervorschlag: § 6 SchSG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https://recht.nulegal.eu/gesetze/SchSG/6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