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SchSG — Einheitliche Durchführung völkerrechtlicher Regeln und Normen</w:t>
      </w:r>
    </w:p>
    <w:p>
      <w:r>
        <w:rPr>
          <w:color w:val="555555"/>
          <w:sz w:val="18"/>
        </w:rPr>
        <w:t xml:space="preserve">Schiffssicherheitsgesetz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aus den innerstaatlichen Rechtsvorschriften, die die in den Abschnitten A und B der Anlage genannten internationalen Regelungen umsetzen, bestimmte Pflichten ergeben, die durch Personen, Organisationen oder Unternehmen - auch für bestimmte Schiffe oder Schiffe bestimmter Baujahre von oder bis zu einem bestimmten Zeitpunkt - zu erfüllen sind (Anforderungen), ohne daß hierfür bestimmte Personen, Organisationen oder Unternehmen als verantwortlich genannt sind, gelten für die Verantwortlichkeit hinsichtlich der Erfüllung dieser Anforderungen die in den §§ 7 bis 9 enthaltenen einheitlichen Grundsätze. Bei der Erfüllung der Pflichten sind die in Abschnitt C der Anlage genannten Bestimmungen zugrunde zu legen.</w:t>
      </w:r>
    </w:p>
    <w:p>
      <w:r>
        <w:rPr>
          <w:color w:val="555555"/>
          <w:sz w:val="17"/>
        </w:rPr>
        <w:t xml:space="preserve">Zitiervorschlag: § 4 SchSG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