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SchSG — Überprüfung von Schiffen unter ausländischer Flagge*)</w:t>
      </w:r>
    </w:p>
    <w:p>
      <w:r>
        <w:rPr>
          <w:color w:val="555555"/>
          <w:sz w:val="18"/>
        </w:rPr>
        <w:t xml:space="preserve">Schiffssicherheitsgesetz</w:t>
      </w:r>
    </w:p>
    <w:p>
      <w:r>
        <w:rPr>
          <w:color w:val="555555"/>
          <w:sz w:val="18"/>
        </w:rPr>
        <w:t xml:space="preserve">Stand: 21.03.2023 (konsolidierte Textfassung, kein amtliches Inkrafttretensdatum)</w:t>
      </w:r>
    </w:p>
    <w:p>
      <w:r>
        <w:t xml:space="preserve">(1) Die Überprüfung von Schiffen unter ausländischer Flagge erfolgt unter Beachtung der allgemeinen Regeln des Völkerrechts und der internationalen Regelungen, in den Häfen zugleich unter Einhaltung der Vorschriften, die zur Umsetzung der Richtlinie 2009/16/EG und deren gemeinschaftsrechtlicher Änderungen und Ergänzungen sowie weiterer gemeinschaftsrechtlicher Vorschriften über die Hafenstaatkontrolle erlassen werden.</w:t>
      </w:r>
    </w:p>
    <w:p>
      <w:r>
        <w:t xml:space="preserve">(2) Kann ein nach Abschnitt A der Anlage erforderlicher Nachweis ausschließlich deshalb nicht anerkannt werden, weil der Flaggenstaat nicht Vertragspartei der zugrundeliegenden internationalen Regelung ist, so ist als Schiffssicherheitsanforderung insofern ein Standard einzuhalten, der den Zielen der internationalen Schiffssicherheitsregelungen nach Maßgabe der Schiffssicherheitsverordnung entspricht. Dies gilt entsprechend für nach Abschnitt A der Anlage erforderliche Nachweise über die Einhaltung von Umweltschutzstandards. ----------</w:t>
      </w:r>
    </w:p>
    <w:p>
      <w:pPr>
        <w:ind w:left="420"/>
      </w:pPr>
      <w:r>
        <w:t xml:space="preserve">*) Diese Bestimmung dient zugleich der Umsetzung folgender Vorschriften: Richtlinie 95/21/EG des Rates vom 19. Juni 1995 zur Durchsetzung internationaler Normen für die Schiffssicherheit, die Verhütung von Verschmutzung und die Lebens- und Arbeitsbedingungen an Bord von Schiffen, die Gemeinschaftshäfen anlaufen und in den Hoheitsgewässern der Mitgliedstaaten fahren (Hafenstaatkontrolle); Artikel 8 und 10 der Richtlinie 94/58/EG des Rates vom 22. November 1994 über Mindestanforderungen für die Ausbildung von Seeleuten.</w:t>
      </w:r>
    </w:p>
    <w:p>
      <w:r>
        <w:rPr>
          <w:color w:val="555555"/>
          <w:sz w:val="17"/>
        </w:rPr>
        <w:t xml:space="preserve">Zitiervorschlag: § 14 SchSG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