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SchSG — Maßnahmen bei Verstößen</w:t>
      </w:r>
    </w:p>
    <w:p>
      <w:r>
        <w:rPr>
          <w:color w:val="555555"/>
          <w:sz w:val="18"/>
        </w:rPr>
        <w:t xml:space="preserve">Schiffssicherheitsgesetz</w:t>
      </w:r>
    </w:p>
    <w:p>
      <w:r>
        <w:rPr>
          <w:color w:val="555555"/>
          <w:sz w:val="18"/>
        </w:rPr>
        <w:t xml:space="preserve">Stand: 10.06.2019 (konsolidierte Textfassung, kein amtliches Inkrafttretensdatum)</w:t>
      </w:r>
    </w:p>
    <w:p>
      <w:r>
        <w:t xml:space="preserve">(1) Bei der Anordnung von Maßnahmen wegen eines Verstoßes gegen internationale Schiffssicherheitsregelungen und Pflichten nach diesem Gesetz einschließlich solcher aus Umweltvorschriften richten sich die zuständigen Behörden auch nach den hierfür in diesen Regelungen sowie nach dem Seerechtsübereinkommen der Vereinten Nationen von 1982 vorgeschriebenen Regeln, Verfahren und Gebräuchen.</w:t>
      </w:r>
    </w:p>
    <w:p>
      <w:r>
        <w:t xml:space="preserve">(2) Ein Zeugnis über die Erfüllung der einschlägigen Vorschriften, das nach Regel IX/4.1 des in Abschnitt A der Anlage unter Nummer 1 genannten Übereinkommens ausgestellt wurde, sowie ein Zeugnis über die Organisation von Sicherheitsmaßnahmen, das nach Regel IX/4.3 dieses Übereinkommens ausgestellt wurde, kann von der erteilenden Stelle für ungültig erklärt und eingezogen werden, wenn der Verantwortliche nach Ablauf einer von dieser Stelle gesetzten Nachfrist die periodische Nachprüfung nicht rechtzeitig beantragt hat oder wenn in erheblichem Umfang gegen internationale Schiffssicherheitsregelungen hinsichtlich der Sicherheitsorganisation verstoßen wird.</w:t>
      </w:r>
    </w:p>
    <w:p>
      <w:r>
        <w:rPr>
          <w:color w:val="555555"/>
          <w:sz w:val="17"/>
        </w:rPr>
        <w:t xml:space="preserve">Zitiervorschlag: § 13 SchSG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