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SchSG — Anwendungsbereich und Begriffsbestimmungen</w:t>
      </w:r>
    </w:p>
    <w:p>
      <w:r>
        <w:rPr>
          <w:color w:val="555555"/>
          <w:sz w:val="18"/>
        </w:rPr>
        <w:t xml:space="preserve">Schiffssicherheitsgesetz</w:t>
      </w:r>
    </w:p>
    <w:p>
      <w:r>
        <w:rPr>
          <w:color w:val="555555"/>
          <w:sz w:val="18"/>
        </w:rPr>
        <w:t xml:space="preserve">Stand: 10.06.2019 (konsolidierte Textfassung, kein amtliches Inkrafttretensdatum)</w:t>
      </w:r>
    </w:p>
    <w:p>
      <w:r>
        <w:t xml:space="preserve">(1) Dieses Gesetz bestimmt, welche Maßnahmen bei der Durchführung der jeweils geltenden internationalen Regelungen zur Schiffssicherheit und zum Umweltschutz auf See (Regelungen) vorzunehmen sind, um die Sicherheit und den Umweltschutz auf See sowie den damit unmittelbar im Zusammenhang stehenden Arbeitsschutz zu gewährleisten.</w:t>
      </w:r>
    </w:p>
    <w:p>
      <w:r>
        <w:t xml:space="preserve">(2) Internationale Regelungen im Sinne dieses Gesetzes sind die in den Abschnitten A bis C der Anlage aufgeführten Vorschriften des innerstaatlich geltenden Völkerrechts und die in Abschnitt D der Anlage aufgeführten Rechtsakte der Europäischen Gemeinschaften oder der Europäischen Union in der jeweils angegebenen Fassung. Internationale Schiffssicherheitsnormen im Sinne dieses Gesetzes sind die in Abschnitt E der Anlage aufgeführten in Deutschland als anwendbare anerkannte Regeln der Technik oder der seemännischen Praxis bekanntgemachten Vorschriften in der jeweils angegebenen Fassung. Zu den Schiffssicherheitsregelungen im Sinne des Satzes 1 gehören auch die internationalen Vorschriften, die die Abwehr äußerer Gefahren regeln, soweit auf diese Vorschriften in Übereinstimmung mit den nachfolgenden Bestimmungen in der Anlage Bezug genommen ist.</w:t>
      </w:r>
    </w:p>
    <w:p>
      <w:r>
        <w:t xml:space="preserve">(3) Dieses Gesetz gilt, vorbehaltlich der Bestimmung des § 6 Abs. 3, nicht für</w:t>
      </w:r>
    </w:p>
    <w:p>
      <w:pPr>
        <w:ind w:left="420"/>
      </w:pPr>
      <w:r>
        <w:t xml:space="preserve">1. das Verhalten der Schiffsführung in bezug auf den Verkehr und die Fahrtroute einschließlich der darauf bezogenen Vorschriften zur Gefahrenabwehr, Meldung und Hilfeleistung sowie zur Anbringung und Verwendung von Lichtern und Signalen,</w:t>
      </w:r>
    </w:p>
    <w:p>
      <w:pPr>
        <w:ind w:left="420"/>
      </w:pPr>
      <w:r>
        <w:t xml:space="preserve">2. (weggefallen)</w:t>
      </w:r>
    </w:p>
    <w:p>
      <w:pPr>
        <w:ind w:left="420"/>
      </w:pPr>
      <w:r>
        <w:t xml:space="preserve">3. die Beförderung gefährlicher Güter im Sinne des § 9 Abs. 1 Satz 1 Nr. 5 des Seeaufgabengesetzes und im Sinne des Atomgesetzes,</w:t>
      </w:r>
    </w:p>
    <w:p>
      <w:pPr>
        <w:ind w:left="420"/>
      </w:pPr>
      <w:r>
        <w:t xml:space="preserve">4. die Durchführung des Sozialgesetzbuchs,</w:t>
      </w:r>
    </w:p>
    <w:p>
      <w:pPr>
        <w:ind w:left="420"/>
      </w:pPr>
      <w:r>
        <w:t xml:space="preserve">5. die Durchführung des Fischereirechts sowie</w:t>
      </w:r>
    </w:p>
    <w:p>
      <w:pPr>
        <w:ind w:left="420"/>
      </w:pPr>
      <w:r>
        <w:t xml:space="preserve">6. den Warenverkehr einschließlich der Sicherheit nach dem Produktsicherheitsgesetz.</w:t>
      </w:r>
    </w:p>
    <w:p>
      <w:r>
        <w:rPr>
          <w:color w:val="555555"/>
          <w:sz w:val="17"/>
        </w:rPr>
        <w:t xml:space="preserve">Zitiervorschlag: § 1 SchSG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https://recht.nulegal.eu/gesetze/SchSG/1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