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Ist ein Binnenschiff vor dem Inkrafttreten des Gesetzes zur Änderung der Schiffsregisterordnung vom 4. Juli 1980 (BGBl. I S. 833) am 1. Januar 1981 zur Eintragung in das Schiffsregister angemeldet worden und stünde die Anmeldung nach den §§ 3 und 10 dem Eigentümer frei oder wären die Voraussetzungen für die Eintragung nach § 3 nicht gegeben, so ist die Eintragung des Schiffs auf Antrag des Eigentümers auch dann gemäß § 20 Abs. 2 und 3 zu löschen, wenn der Eigentümer nach den bis zu diesem Zeitpunkt geltenden Vorschriften zur Anmeldung verpflichtet war.</w:t>
      </w:r>
    </w:p>
    <w:p>
      <w:r>
        <w:t xml:space="preserve">(2) Angaben im Sinne der §§ 11 und 12 sind nachzutragen, wenn der Eigentümer es beantragt oder bezüglich der Angaben nach § 11 Abs. 1 Nr. 1 bis 5, 8, § 12 Nr. 1 bis 5 eine Änderung einzutragen ist.</w:t>
      </w:r>
    </w:p>
    <w:p>
      <w:r>
        <w:rPr>
          <w:color w:val="555555"/>
          <w:sz w:val="17"/>
        </w:rPr>
        <w:t xml:space="preserve">Zitiervorschlag: § 98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