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Anträge, sonstige Erklärungen sowie Nachweise über andere Eintragungsvoraussetzungen können dem Registergericht nach Maßgabe der folgenden Bestimmungen als elektronische Dokumente übermittelt werden. Die Landesregierungen werden ermächtigt, durch Rechtsverordnung</w:t>
      </w:r>
    </w:p>
    <w:p>
      <w:pPr>
        <w:ind w:left="420"/>
      </w:pPr>
      <w:r>
        <w:t xml:space="preserve">1. den Zeitpunkt zu bestimmen, von dem an elektronische Dokumente übermittelt werden können; die Zulassung kann auf einzelne Registergerichte beschränkt werden;</w:t>
      </w:r>
    </w:p>
    <w:p>
      <w:pPr>
        <w:ind w:left="420"/>
      </w:pPr>
      <w:r>
        <w:t xml:space="preserve">2. Einzelheiten der Datenübermittlung und -speicherung zu regeln sowie Dateiformate für die zu übermittelnden elektronischen Dokumente festzulegen, um die Eignung für die Bearbeitung durch das Registergericht sicherzustellen;</w:t>
      </w:r>
    </w:p>
    <w:p>
      <w:pPr>
        <w:ind w:left="420"/>
      </w:pPr>
      <w:r>
        <w:t xml:space="preserve">3. die ausschließlich für den Empfang von in elektronischer Form gestellten Eintragungsanträgen und sonstigen elektronischen Dokumenten in Schiffsregister- und Schiffsbauregistersachen vorgesehene direkt adressierbare Einrichtung des Registergerichts zu bestimmen; als adressierbare Einrichtung des Registergerichts kann auch die entsprechende Einrichtung des Grundbuchamtes desselben Gerichts für den Empfang von elektronischen Dokumenten bestimmt werden;</w:t>
      </w:r>
    </w:p>
    <w:p>
      <w:pPr>
        <w:ind w:left="420"/>
      </w:pPr>
      <w:r>
        <w:t xml:space="preserve">4. zu bestimmen, dass Notare</w:t>
      </w:r>
    </w:p>
    <w:p>
      <w:pPr>
        <w:ind w:left="780"/>
      </w:pPr>
      <w:r>
        <w:t xml:space="preserve">a) Dokumente elektronisch zu übermitteln haben und</w:t>
      </w:r>
    </w:p>
    <w:p>
      <w:pPr>
        <w:ind w:left="780"/>
      </w:pPr>
      <w:r>
        <w:t xml:space="preserve">b) neben den elektronischen Dokumenten bestimmte darin enthaltene Angaben in strukturierter maschinenlesbarer Form zu übermitteln haben;</w:t>
      </w:r>
    </w:p>
    <w:p>
      <w:pPr>
        <w:ind w:left="420"/>
      </w:pPr>
      <w:r>
        <w:t xml:space="preserve">die Verpflichtung kann auf die Übermittlung bei einzelnen Registergerichten, auf einzelne Arten von Eintragungsvorgängen oder auf Dokumente bestimmten Inhalts beschränkt werden;</w:t>
      </w:r>
    </w:p>
    <w:p>
      <w:pPr>
        <w:ind w:left="420"/>
      </w:pPr>
      <w:r>
        <w:t xml:space="preserve">5. Maßnahmen für den Fall des Auftretens technischer Störungen anzuordnen.</w:t>
      </w:r>
    </w:p>
    <w:p>
      <w:r>
        <w:t xml:space="preserve">Ein Verstoß gegen eine nach Satz 2 Nummer 4 begründete Verpflichtung steht dem rechtswirksamen Eingang von Dokumenten beim Registergericht nicht entgegen.</w:t>
      </w:r>
    </w:p>
    <w:p>
      <w:r>
        <w:t xml:space="preserve">(2) Die Registerakten können elektronisch geführt werden. Die Landesregierungen werden ermächtigt, durch Rechtsverordnung den Zeitpunkt zu bestimmen, von dem an die Registerakten elektronisch geführt werden; die Anordnung kann auf einzelne Registergerichte oder auf Teile des bei einem Registergericht geführten Registeraktenbestands beschränkt werden.</w:t>
      </w:r>
    </w:p>
    <w:p>
      <w:r>
        <w:t xml:space="preserve">(3) Die Landesregierungen können die Ermächtigungen nach Absatz 1 Satz 2 und Absatz 2 Satz 2 durch Rechtsverordnung auf die Landesjustizverwaltungen übertragen.</w:t>
      </w:r>
    </w:p>
    <w:p>
      <w:r>
        <w:t xml:space="preserve">(4) Für den elektronischen Rechtsverkehr und die elektronischen Registerakten gilt § 93 Satz 1 in Verbindung mit § 126 Absatz 1 Satz 2 und Absatz 3 der Grundbuchordnung. Die Vorschriften über den elektronischen Rechtsverkehr und die elektronische Akte in Beschwerdeverfahren bleiben unberührt.</w:t>
      </w:r>
    </w:p>
    <w:p>
      <w:r>
        <w:t xml:space="preserve">(5) Die §§ 136 bis 140 der Grundbuchordnung gelten sinngemäß.</w:t>
      </w:r>
    </w:p>
    <w:p>
      <w:r>
        <w:rPr>
          <w:color w:val="555555"/>
          <w:sz w:val="17"/>
        </w:rPr>
        <w:t xml:space="preserve">Zitiervorschlag: § 94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