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Beschwerdegericht kann vor der Entscheidung eine einstweilige Anordnung erlassen, insbesondere dem Registergericht aufgeben, einen Schutzvermerk nach § 28 Abs. 2 einzutragen, oder anordnen, daß die Vollziehung der angefochtenen Entscheidung auszusetzen ist.</w:t>
      </w:r>
    </w:p>
    <w:p>
      <w:r>
        <w:t xml:space="preserve">(2) Der Schutzvermerk wird von Amts wegen gelöscht, wenn die Beschwerde zurückgenommen oder zurückgewiesen wird.</w:t>
      </w:r>
    </w:p>
    <w:p>
      <w:r>
        <w:rPr>
          <w:color w:val="555555"/>
          <w:sz w:val="17"/>
        </w:rPr>
        <w:t xml:space="preserve">Zitiervorschlag: § 81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