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SchRegO</w:t>
      </w:r>
    </w:p>
    <w:p>
      <w:r>
        <w:rPr>
          <w:color w:val="555555"/>
          <w:sz w:val="18"/>
        </w:rPr>
        <w:t xml:space="preserve">Schiffsregisterordnung</w:t>
      </w:r>
    </w:p>
    <w:p>
      <w:r>
        <w:rPr>
          <w:color w:val="555555"/>
          <w:sz w:val="18"/>
        </w:rPr>
        <w:t xml:space="preserve">Stand: 01.07.2026 (konsolidierte Textfassung, kein amtliches Inkrafttretensdatum)</w:t>
      </w:r>
    </w:p>
    <w:p>
      <w:r>
        <w:t xml:space="preserve">(1) Das Schiffsregister ist öffentlich; die Einsicht in das Register ist jedem gestattet. Auf Verlangen ist eine Abschrift der Eintragung zu erteilen; die Abschrift ist auf Verlangen zu beglaubigen. Die Landesregierungen werden ermächtigt, durch Rechtsverordnung die Einsichtnahme in das Schiffsregister zu Informationszwecken durch einzelne Abrufe im Wege eines elektronischen Abrufverfahrens zuzulassen. Sie bestimmen in diesem Fall das Informations- und Kommunikationssystem, über das die Daten aus dem Schiffsregister abrufbar sind, und sind für die Abwicklung des elektronischen Abrufverfahrens zuständig. Die Landesregierungen können die Zuständigkeit durch Rechtsverordnung abweichend regeln. Sie können die Ermächtigungen nach den Sätzen 3 und 5 durch Rechtsverordnung auf die Landesjustizverwaltungen übertragen. Die Länder können ein länderübergreifendes, zentrales elektronisches Informations- und Kommunikationssystem bestimmen. Sie können auch eine Übertragung der Abwicklungsaufgaben auf die zuständige Stelle eines anderen Landes vereinbaren.</w:t>
      </w:r>
    </w:p>
    <w:p>
      <w:r>
        <w:t xml:space="preserve">(2) Die Einsicht in die Registerakten ist nur gestattet, soweit ein berechtigtes Interesse glaubhaft gemacht wird; Absatz 1 Satz 2 gilt sinngemäß. Das gleiche gilt für die Einsicht in Urkunden, auf die im Schiffsregister zur Ergänzung einer Eintragung Bezug genommen ist, sowie in die noch nicht erledigten Eintragungsanträge.</w:t>
      </w:r>
    </w:p>
    <w:p>
      <w:r>
        <w:rPr>
          <w:color w:val="555555"/>
          <w:sz w:val="17"/>
        </w:rPr>
        <w:t xml:space="preserve">Zitiervorschlag: § 8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