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Die Beschwerde kann bei dem Registergericht oder bei dem Beschwerdegericht eingelegt werden.</w:t>
      </w:r>
    </w:p>
    <w:p>
      <w:r>
        <w:t xml:space="preserve">(2) Die Beschwerde wird durch Einreichung einer Beschwerdeschrift oder durch Erklärung zur Niederschrift der Geschäftsstelle des Registergerichts oder des Beschwerdegerichts eingelegt. Für die Einlegung der Beschwerde durch die Übermittlung eines elektronischen Dokuments, die elektronische Gerichtsakte sowie das gerichtliche elektronische Dokument gilt § 14 Absatz 1 bis 3 und 5 des Gesetzes über das Verfahren in Familiensachen und in den Angelegenheiten der freiwilligen Gerichtsbarkeit.</w:t>
      </w:r>
    </w:p>
    <w:p>
      <w:r>
        <w:rPr>
          <w:color w:val="555555"/>
          <w:sz w:val="17"/>
        </w:rPr>
        <w:t xml:space="preserve">Zitiervorschlag: § 77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