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75 SchRegO</w:t>
      </w:r>
    </w:p>
    <w:p>
      <w:r>
        <w:rPr>
          <w:color w:val="555555"/>
          <w:sz w:val="18"/>
        </w:rPr>
        <w:t xml:space="preserve">Schiffsregisterordnung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Entscheidungen des Registergerichts können mit dem Rechtsmittel der Beschwerde angefochten werden.</w:t>
      </w:r>
    </w:p>
    <w:p>
      <w:r>
        <w:t xml:space="preserve">(2) Mit der Beschwerde gegen eine Eintragung kann nur verlangt werden, daß das Registergericht angewiesen wird, nach § 56 einen Widerspruch einzutragen oder eine Eintragung zu löschen.</w:t>
      </w:r>
    </w:p>
    <w:p>
      <w:r>
        <w:rPr>
          <w:color w:val="555555"/>
          <w:sz w:val="17"/>
        </w:rPr>
        <w:t xml:space="preserve">Zitiervorschlag: § 75 SchRegO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https://recht.nulegal.eu/gesetze/SchRegO/75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