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73b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fertiggestellte Schwimmdocks, die nicht im Schiffsbauregister des Bauorts eingetragen sind, sind die Vorschriften der §§ 66, 68 Abs. 2 sowie die für Binnenschiffe geltenden Vorschriften in § 9, § 14 Abs. 1, 3, § 15, § 16 Abs. 4, § 17 Abs. 4, Abs. 5 Satz 1, §§ 18 bis 22 entsprechend anzuwenden. Im übrigen gilt folgendes:</w:t>
      </w:r>
    </w:p>
    <w:p>
      <w:pPr>
        <w:ind w:left="420"/>
      </w:pPr>
      <w:r>
        <w:t xml:space="preserve">1. Das Schwimmdock ist in das Schiffsbauregister des Lageortes einzutragen.</w:t>
      </w:r>
    </w:p>
    <w:p>
      <w:pPr>
        <w:ind w:left="420"/>
      </w:pPr>
      <w:r>
        <w:t xml:space="preserve">2. Bei der Anmeldung sind anzugeben</w:t>
      </w:r>
    </w:p>
    <w:p>
      <w:pPr>
        <w:ind w:left="780"/>
      </w:pPr>
      <w:r>
        <w:t xml:space="preserve">a) der Name oder die Nummer oder sonstige Bezeichnung des Schwimmdocks und die Angabe, daß es sich um ein fertiggestelltes Schwimmdock handelt,</w:t>
      </w:r>
    </w:p>
    <w:p>
      <w:pPr>
        <w:ind w:left="780"/>
      </w:pPr>
      <w:r>
        <w:t xml:space="preserve">b) der Lageort,</w:t>
      </w:r>
    </w:p>
    <w:p>
      <w:pPr>
        <w:ind w:left="780"/>
      </w:pPr>
      <w:r>
        <w:t xml:space="preserve">c) der Bauort,</w:t>
      </w:r>
    </w:p>
    <w:p>
      <w:pPr>
        <w:ind w:left="780"/>
      </w:pPr>
      <w:r>
        <w:t xml:space="preserve">d) der Eigentümer,</w:t>
      </w:r>
    </w:p>
    <w:p>
      <w:pPr>
        <w:ind w:left="780"/>
      </w:pPr>
      <w:r>
        <w:t xml:space="preserve">e) der Rechtsgrund für den Erwerb des Eigentums.</w:t>
      </w:r>
    </w:p>
    <w:p>
      <w:pPr>
        <w:ind w:left="420"/>
      </w:pPr>
      <w:r>
        <w:t xml:space="preserve">Die unter b) bis e) bezeichneten Angaben sind glaubhaft zu machen.</w:t>
      </w:r>
    </w:p>
    <w:p>
      <w:pPr>
        <w:ind w:left="420"/>
      </w:pPr>
      <w:r>
        <w:t xml:space="preserve">3. Die Eintragung des Schwimmdocks hat die in Nummer 2 Buchstabe a, b, d, e bezeichneten Angaben und den Tag der Eintragung zu enthalten; sie ist von den zuständigen Beamten zu unterschreiben.</w:t>
      </w:r>
    </w:p>
    <w:p>
      <w:pPr>
        <w:ind w:left="420"/>
      </w:pPr>
      <w:r>
        <w:t xml:space="preserve">4. Veränderungen der in Nummer 2 Buchstabe a, b bezeichneten, nach Nummer 3 eingetragenen Tatsachen hat der Eigentümer unverzüglich zur Eintragung in das Schiffsbauregister anzumelden und glaubhaft zu machen; im Falle der Nichterfüllung dieser Verpflichtung ist § 19 entsprechend anzuwenden. Für die Eintragung gilt Nummer 3 sinngemäß.</w:t>
      </w:r>
    </w:p>
    <w:p>
      <w:r>
        <w:rPr>
          <w:color w:val="555555"/>
          <w:sz w:val="17"/>
        </w:rPr>
        <w:t xml:space="preserve">Zitiervorschlag: § 73b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