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73 SchRegO</w:t>
      </w:r>
    </w:p>
    <w:p>
      <w:r>
        <w:rPr>
          <w:color w:val="555555"/>
          <w:sz w:val="18"/>
        </w:rPr>
        <w:t xml:space="preserve">Schiffsregisterordnung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Eintragung des Schiffsbauwerks wird gelöscht,</w:t>
      </w:r>
    </w:p>
    <w:p>
      <w:pPr>
        <w:ind w:left="420"/>
      </w:pPr>
      <w:r>
        <w:t xml:space="preserve">1. wenn der Inhaber der Schiffswerft anmeldet, daß das Schiff ins Ausland abgeliefert ist;</w:t>
      </w:r>
    </w:p>
    <w:p>
      <w:pPr>
        <w:ind w:left="420"/>
      </w:pPr>
      <w:r>
        <w:t xml:space="preserve">2. wenn der Eigentümer des Schiffsbauwerks und der Inhaber der Schiffswerft, auf der das Schiff erbaut wird, die Löschung beantragen;</w:t>
      </w:r>
    </w:p>
    <w:p>
      <w:pPr>
        <w:ind w:left="420"/>
      </w:pPr>
      <w:r>
        <w:t xml:space="preserve">3. wenn das Schiffsbauwerk untergegangen ist.</w:t>
      </w:r>
    </w:p>
    <w:p>
      <w:r>
        <w:t xml:space="preserve">In den Fällen der Nummern 1, 2 bedarf es, wenn das Schiffsbauwerk mit einer Schiffshypothek belastet ist, der Löschungsbewilligung des Schiffshypothekengläubigers und der sonst aus dem Schiffsbauregister ersichtlichen Berechtigten.</w:t>
      </w:r>
    </w:p>
    <w:p>
      <w:r>
        <w:rPr>
          <w:color w:val="555555"/>
          <w:sz w:val="17"/>
        </w:rPr>
        <w:t xml:space="preserve">Zitiervorschlag: § 73 SchRegO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https://recht.nulegal.eu/gesetze/SchRegO/73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