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72 SchRegO</w:t>
      </w:r>
    </w:p>
    <w:p>
      <w:r>
        <w:rPr>
          <w:color w:val="555555"/>
          <w:sz w:val="18"/>
        </w:rPr>
        <w:t xml:space="preserve">Schiffsregisterordnung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Nach der Anmeldung der Fertigstellung des Schiffs kann eine Schiffshypothek im Schiffsbauregister nicht mehr eingetragen werden. Das gleiche gilt, wenn die Bescheinigung nach § 15 erteilt ist.</w:t>
      </w:r>
    </w:p>
    <w:p>
      <w:r>
        <w:rPr>
          <w:color w:val="555555"/>
          <w:sz w:val="17"/>
        </w:rPr>
        <w:t xml:space="preserve">Zitiervorschlag: § 72 SchRegO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https://recht.nulegal.eu/gesetze/SchRegO/72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