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Das Schiffsbauwerk wird in das Schiffsbauregister eingetragen, wenn der Inhaber der Schiffswerft, auf der das Schiff erbaut wird, es ordnungsmäßig zur Eintragung anmeldet. Ist der Inhaber der Schiffswerft nicht Eigentümer des Schiffsbauwerks, so kann auch der Eigentümer es zur Eintragung anmelden.</w:t>
      </w:r>
    </w:p>
    <w:p>
      <w:r>
        <w:t xml:space="preserve">(2) Das Schiffsbauwerk kann zur Eintragung auch von dem angemeldet werden, der auf Grund eines vollstreckbaren Titels eine Eintragung in das Schiffsbauregister verlangen oder die Zwangsversteigerung des Schiffsbauwerks betreiben kann.</w:t>
      </w:r>
    </w:p>
    <w:p>
      <w:r>
        <w:rPr>
          <w:color w:val="555555"/>
          <w:sz w:val="17"/>
        </w:rPr>
        <w:t xml:space="preserve">Zitiervorschlag: § 68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