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Schiffsbauwerk ist in das Register des Bauorts einzutragen.</w:t>
      </w:r>
    </w:p>
    <w:p>
      <w:r>
        <w:t xml:space="preserve">(2) Das Registergericht bleibt für die Führung des Registers zuständig, auch wenn das Schiffsbauwerk an einen anderen Ort außerhalb des Registerbezirks gebracht wird; es hat dem Registergericht des neuen Bauorts die Eintragung des Schiffsbauwerks anzuzeigen.</w:t>
      </w:r>
    </w:p>
    <w:p>
      <w:r>
        <w:rPr>
          <w:color w:val="555555"/>
          <w:sz w:val="17"/>
        </w:rPr>
        <w:t xml:space="preserve">Zitiervorschlag: § 67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