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SchRegO</w:t>
      </w:r>
    </w:p>
    <w:p>
      <w:r>
        <w:rPr>
          <w:color w:val="555555"/>
          <w:sz w:val="18"/>
        </w:rPr>
        <w:t xml:space="preserve">Schiffsregisterordnung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Schiffsbauwerk wird in das Schiffsbauregister nur eingetragen, wenn zugleich eine Schiffshypothek an dem Schiffsbauwerk eingetragen wird oder wenn die Zwangsversteigerung des Schiffsbauwerks beantragt ist.</w:t>
      </w:r>
    </w:p>
    <w:p>
      <w:r>
        <w:rPr>
          <w:color w:val="555555"/>
          <w:sz w:val="17"/>
        </w:rPr>
        <w:t xml:space="preserve">Zitiervorschlag: § 66 SchRegO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https://recht.nulegal.eu/gesetze/SchRegO/66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