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Register für Schiffsbauwerke (Schiffsbauregister) gelten die §§ 1, 2, 7 sinngemäß. § 2 Abs. 3 gilt auch für die Gestattung der Einsicht in das Schiffsbauregister.</w:t>
      </w:r>
    </w:p>
    <w:p>
      <w:r>
        <w:t xml:space="preserve">(2) Die Einsicht in das Schiffsbauregister ist nur gestattet, soweit ein berechtigtes Interesse dargelegt wird. Unter der gleichen Voraussetzung kann eine Abschrift gefordert werden; die Abschrift ist auf Verlangen zu beglaubigen. Im übrigen gilt § 8 Abs. 2 sinngemäß.</w:t>
      </w:r>
    </w:p>
    <w:p>
      <w:r>
        <w:rPr>
          <w:color w:val="555555"/>
          <w:sz w:val="17"/>
        </w:rPr>
        <w:t xml:space="preserve">Zitiervorschlag: § 65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