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Ein neues Schiffszertifikat oder ein neuer Schiffsbrief darf nur erteilt werden, wenn die bisherige Urkunde vorgelegt oder glaubhaft gemacht wird, daß sie vernichtet oder abhanden gekommen ist. Das gleiche gilt, wenn das Registergericht einen Auszug aus dem Schiffszertifikat erteilt hat, von diesem.</w:t>
      </w:r>
    </w:p>
    <w:p>
      <w:r>
        <w:t xml:space="preserve">(2) Befindet sich ein Seeschiff im Ausland, so hat das Registergericht auf Antrag dem Schiffer die neue Urkunde gegen Rückgabe der bisherigen Urkunde durch Vermittlung einer deutschen Behörde aushändigen zu lassen.</w:t>
      </w:r>
    </w:p>
    <w:p>
      <w:r>
        <w:rPr>
          <w:color w:val="555555"/>
          <w:sz w:val="17"/>
        </w:rPr>
        <w:t xml:space="preserve">Zitiervorschlag: § 63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