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SchRegO</w:t>
      </w:r>
    </w:p>
    <w:p>
      <w:r>
        <w:rPr>
          <w:color w:val="555555"/>
          <w:sz w:val="18"/>
        </w:rPr>
        <w:t xml:space="preserve">Schiffsregisterordnung</w:t>
      </w:r>
    </w:p>
    <w:p>
      <w:r>
        <w:rPr>
          <w:color w:val="555555"/>
          <w:sz w:val="18"/>
        </w:rPr>
        <w:t xml:space="preserve">Stand: 01.07.2026 (konsolidierte Textfassung, kein amtliches Inkrafttretensdatum)</w:t>
      </w:r>
    </w:p>
    <w:p>
      <w:r>
        <w:t xml:space="preserve">(1) Das Registergericht hat über die Eintragung des Schiffs eine Urkunde auszustellen, in die der vollständige Inhalt der Eintragungen aufzunehmen ist. Die Urkunde führt bei Seeschiffen die Bezeichnung Schiffszertifikat, bei Binnenschiffen die Bezeichnung Schiffsbrief.</w:t>
      </w:r>
    </w:p>
    <w:p>
      <w:r>
        <w:t xml:space="preserve">(2) Im Schiffszertifikat ist ferner zu bezeugen, daß die in ihm enthaltenen Angaben glaubhaft gemacht sind und daß das Schiff das Recht hat, die Bundesflagge der Bundesrepublik Deutschland zu führen.</w:t>
      </w:r>
    </w:p>
    <w:p>
      <w:r>
        <w:t xml:space="preserve">(3) Dem Eigentümer eines Seeschiffs ist auf Antrag ein beglaubigter Auszug aus dem Schiffszertifikat zu erteilen, in den nur die im § 11 Abs. 1 Nr. 1 bis 5 bezeichneten Tatsachen, das Unterscheidungssignal und das im Absatz 2 bezeichnete Zeugnis aufzunehmen sind.</w:t>
      </w:r>
    </w:p>
    <w:p>
      <w:r>
        <w:t xml:space="preserve">(4) Dem Eigentümer eines Binnenschiffs ist auf Antrag ein beglaubigter Auszug aus dem Schiffsbrief zu erteilen, in den nur die in § 12 Absatz 1 Nummer 1 bis 5 bezeichneten Tatsachen und, soweit vorhanden, die einheitliche Schiffsnummer aufzunehmen sind.</w:t>
      </w:r>
    </w:p>
    <w:p>
      <w:r>
        <w:rPr>
          <w:color w:val="555555"/>
          <w:sz w:val="17"/>
        </w:rPr>
        <w:t xml:space="preserve">Zitiervorschlag: § 60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