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ein Schiff im Seeschiffsregister eingetragen, so kann sich der Eigentümer nicht darauf berufen, daß es ein Binnenschiff sei.</w:t>
      </w:r>
    </w:p>
    <w:p>
      <w:r>
        <w:t xml:space="preserve">(2) Ist ein Schiff im Binnenschiffsregister eingetragen, so kann sich der Eigentümer nicht darauf berufen, daß es ein Seeschiff sei.</w:t>
      </w:r>
    </w:p>
    <w:p>
      <w:r>
        <w:rPr>
          <w:color w:val="555555"/>
          <w:sz w:val="17"/>
        </w:rPr>
        <w:t xml:space="preserve">Zitiervorschlag: § 6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