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Urkunden, auf die eine Eintragung sich gründet oder Bezug nimmt, hat das Registergericht aufzubewahren. Eine solche Urkunde darf nur herausgegeben werden, wenn statt der Urkunde eine beglaubigte Abschrift bei dem Registergericht bleibt.</w:t>
      </w:r>
    </w:p>
    <w:p>
      <w:r>
        <w:t xml:space="preserve">(2) Ist eine der im Absatz 1 bezeichneten Urkunden in anderen Akten des das Schiffsregister führenden Amtsgerichts enthalten, so genügt statt einer beglaubigten Abschrift der Urkunde eine Verweisung auf die anderen Akten, wenn diese der Vernichtung nicht unterliegen.</w:t>
      </w:r>
    </w:p>
    <w:p>
      <w:r>
        <w:t xml:space="preserve">(3) Ist über das einer Eintragungsbewilligung zugrunde liegende Rechtsgeschäft eine Urkunde errichtet, so können die Beteiligten die Urkunde oder eine beglaubigte Abschrift dem Registergericht zur Aufbewahrung übergeben.</w:t>
      </w:r>
    </w:p>
    <w:p>
      <w:r>
        <w:rPr>
          <w:color w:val="555555"/>
          <w:sz w:val="17"/>
        </w:rPr>
        <w:t xml:space="preserve">Zitiervorschlag: § 59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