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SchRegO</w:t>
      </w:r>
    </w:p>
    <w:p>
      <w:r>
        <w:rPr>
          <w:color w:val="555555"/>
          <w:sz w:val="18"/>
        </w:rPr>
        <w:t xml:space="preserve">Schiffsregisterordnung</w:t>
      </w:r>
    </w:p>
    <w:p>
      <w:r>
        <w:rPr>
          <w:color w:val="555555"/>
          <w:sz w:val="18"/>
        </w:rPr>
        <w:t xml:space="preserve">Stand: 01.07.2026 (konsolidierte Textfassung, kein amtliches Inkrafttretensdatum)</w:t>
      </w:r>
    </w:p>
    <w:p>
      <w:r>
        <w:t xml:space="preserve">(1) Jede Eintragung soll dem Antragsteller und dem eingetragenen Eigentümer sowie allen aus dem Schiffsregister ersichtlichen Personen bekanntgemacht werden, zu deren Gunsten die Eintragung erfolgt ist oder deren Recht durch sie betroffen wird, die Eintragung eines Eigentümers auch denen, für die eine Schiffshypothek oder ein Recht an einer solchen im Schiffsregister eingetragen ist. Auf die Bekanntmachung kann verzichtet werden.</w:t>
      </w:r>
    </w:p>
    <w:p>
      <w:r>
        <w:t xml:space="preserve">(2) Jede Eintragung in die erste und zweite Abteilung des Seeschiffsregisters und des Binnenschiffsregisters ist dem Bundesamt für Seeschifffahrt und Hydrographie zur Erfüllung der Aufgaben nach dem Seeaufgabengesetz, dem Flaggenrechtsgesetz und dem Binnenschifffahrtsaufgabengesetz sowie der örtlich zuständigen Arbeitsschutzbehörde zur Erfüllung ihrer Aufgaben nach dem Seearbeitsgesetz bekanntzumachen. Auf Verlangen des Bundesamtes für Seeschifffahrt und Hydrographie sind diesem unverzüglich die entsprechenden Auszüge aus dem Schiffsregister zu übermitteln.</w:t>
      </w:r>
    </w:p>
    <w:p>
      <w:r>
        <w:rPr>
          <w:color w:val="555555"/>
          <w:sz w:val="17"/>
        </w:rPr>
        <w:t xml:space="preserve">Zitiervorschlag: § 57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