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SchRegO</w:t>
      </w:r>
    </w:p>
    <w:p>
      <w:r>
        <w:rPr>
          <w:color w:val="555555"/>
          <w:sz w:val="18"/>
        </w:rPr>
        <w:t xml:space="preserve">Schiffsregisterordnung</w:t>
      </w:r>
    </w:p>
    <w:p>
      <w:r>
        <w:rPr>
          <w:color w:val="555555"/>
          <w:sz w:val="18"/>
        </w:rPr>
        <w:t xml:space="preserve">Stand: 01.01.2024 (konsolidierte Textfassung, kein amtliches Inkrafttretensdatum)</w:t>
      </w:r>
    </w:p>
    <w:p>
      <w:r>
        <w:t xml:space="preserve">(1) Wird ein Recht für mehrere gemeinschaftlich eingetragen, so sollen in der Eintragung entweder die Anteile der Berechtigten in Bruchteilen angegeben oder es soll das für die Gemeinschaft maßgebende Rechtsverhältnis bezeichnet werden.</w:t>
      </w:r>
    </w:p>
    <w:p>
      <w:r>
        <w:t xml:space="preserve">(2) Für eine Gesellschaft bürgerlichen Rechts sollen ein Recht nur eingetragen und Eintragungen, die ein Recht der Gesellschaft bürgerlichen Rechts betreffen, nur vorgenommen werden, wenn sie im Gesellschaftsregister eingetragen ist.</w:t>
      </w:r>
    </w:p>
    <w:p>
      <w:r>
        <w:rPr>
          <w:color w:val="555555"/>
          <w:sz w:val="17"/>
        </w:rPr>
        <w:t xml:space="preserve">Zitiervorschlag: § 51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