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SchRegO</w:t>
      </w:r>
    </w:p>
    <w:p>
      <w:r>
        <w:rPr>
          <w:color w:val="555555"/>
          <w:sz w:val="18"/>
        </w:rPr>
        <w:t xml:space="preserve">Schiffsregisterordnung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Recht, eine Vormerkung, ein Widerspruch oder eine Verfügungsbeschränkung wird durch Eintragung eines Löschungsvermerks gelöscht.</w:t>
      </w:r>
    </w:p>
    <w:p>
      <w:r>
        <w:t xml:space="preserve">(2) Wird bei der Übertragung eines Schiffs auf ein anderes Blatt ein eingetragenes Recht nicht mitübertragen, so gilt es als gelöscht.</w:t>
      </w:r>
    </w:p>
    <w:p>
      <w:r>
        <w:rPr>
          <w:color w:val="555555"/>
          <w:sz w:val="17"/>
        </w:rPr>
        <w:t xml:space="preserve">Zitiervorschlag: § 50 SchRegO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https://recht.nulegal.eu/gesetze/SchRegO/50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